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8A" w:rsidRDefault="008F288A">
      <w:pPr>
        <w:pStyle w:val="ConsPlusTitle"/>
        <w:widowControl/>
        <w:jc w:val="center"/>
        <w:rPr>
          <w:rFonts w:ascii="Liberation Serif" w:hAnsi="Liberation Serif" w:cs="Liberation Serif"/>
          <w:b w:val="0"/>
          <w:bCs w:val="0"/>
          <w:sz w:val="26"/>
          <w:szCs w:val="26"/>
          <w:highlight w:val="white"/>
        </w:rPr>
      </w:pPr>
    </w:p>
    <w:p w:rsidR="008F288A" w:rsidRDefault="008F288A">
      <w:pPr>
        <w:pStyle w:val="ConsPlusTitle"/>
        <w:widowControl/>
        <w:jc w:val="center"/>
        <w:rPr>
          <w:rFonts w:ascii="Liberation Serif" w:hAnsi="Liberation Serif" w:cs="Liberation Serif"/>
          <w:b w:val="0"/>
          <w:bCs w:val="0"/>
          <w:sz w:val="26"/>
          <w:szCs w:val="26"/>
          <w:highlight w:val="white"/>
        </w:rPr>
      </w:pPr>
    </w:p>
    <w:p w:rsidR="008F288A" w:rsidRDefault="008F288A">
      <w:pPr>
        <w:pStyle w:val="ConsPlusTitle"/>
        <w:widowControl/>
        <w:jc w:val="center"/>
        <w:rPr>
          <w:rFonts w:ascii="Liberation Serif" w:hAnsi="Liberation Serif" w:cs="Liberation Serif"/>
          <w:b w:val="0"/>
          <w:bCs w:val="0"/>
          <w:sz w:val="26"/>
          <w:szCs w:val="26"/>
          <w:highlight w:val="white"/>
        </w:rPr>
      </w:pPr>
    </w:p>
    <w:p w:rsidR="008F288A" w:rsidRDefault="008F288A">
      <w:pPr>
        <w:pStyle w:val="ConsPlusTitle"/>
        <w:widowControl/>
        <w:jc w:val="center"/>
        <w:rPr>
          <w:rFonts w:ascii="Liberation Serif" w:hAnsi="Liberation Serif" w:cs="Liberation Serif"/>
          <w:b w:val="0"/>
          <w:bCs w:val="0"/>
          <w:sz w:val="26"/>
          <w:szCs w:val="26"/>
          <w:highlight w:val="white"/>
        </w:rPr>
      </w:pPr>
    </w:p>
    <w:p w:rsidR="008F288A" w:rsidRDefault="008F288A">
      <w:pPr>
        <w:pStyle w:val="ConsPlusTitle"/>
        <w:widowControl/>
        <w:jc w:val="center"/>
        <w:rPr>
          <w:rFonts w:ascii="Liberation Serif" w:hAnsi="Liberation Serif" w:cs="Liberation Serif"/>
          <w:b w:val="0"/>
          <w:bCs w:val="0"/>
          <w:sz w:val="26"/>
          <w:szCs w:val="26"/>
          <w:highlight w:val="white"/>
        </w:rPr>
      </w:pPr>
    </w:p>
    <w:p w:rsidR="008F288A" w:rsidRDefault="008F288A">
      <w:pPr>
        <w:pStyle w:val="ConsPlusTitle"/>
        <w:widowControl/>
        <w:jc w:val="center"/>
        <w:rPr>
          <w:rFonts w:ascii="Liberation Serif" w:hAnsi="Liberation Serif" w:cs="Liberation Serif"/>
          <w:b w:val="0"/>
          <w:bCs w:val="0"/>
          <w:sz w:val="26"/>
          <w:szCs w:val="26"/>
          <w:highlight w:val="white"/>
        </w:rPr>
      </w:pPr>
    </w:p>
    <w:p w:rsidR="008F288A" w:rsidRDefault="008F288A">
      <w:pPr>
        <w:pStyle w:val="ConsPlusTitle"/>
        <w:widowControl/>
        <w:jc w:val="center"/>
        <w:rPr>
          <w:rFonts w:ascii="Liberation Serif" w:hAnsi="Liberation Serif" w:cs="Liberation Serif"/>
          <w:b w:val="0"/>
          <w:bCs w:val="0"/>
          <w:sz w:val="26"/>
          <w:szCs w:val="26"/>
          <w:highlight w:val="white"/>
        </w:rPr>
      </w:pPr>
    </w:p>
    <w:p w:rsidR="008F288A" w:rsidRDefault="008F288A">
      <w:pPr>
        <w:pStyle w:val="ConsPlusTitle"/>
        <w:widowControl/>
        <w:jc w:val="center"/>
        <w:rPr>
          <w:rFonts w:ascii="Liberation Serif" w:hAnsi="Liberation Serif" w:cs="Liberation Serif"/>
          <w:b w:val="0"/>
          <w:bCs w:val="0"/>
          <w:sz w:val="26"/>
          <w:szCs w:val="26"/>
          <w:highlight w:val="white"/>
        </w:rPr>
      </w:pPr>
    </w:p>
    <w:p w:rsidR="008F288A" w:rsidRDefault="00527268">
      <w:pPr>
        <w:pStyle w:val="ConsPlusTitle"/>
        <w:widowControl/>
        <w:jc w:val="center"/>
      </w:pPr>
      <w:r>
        <w:rPr>
          <w:rFonts w:ascii="Liberation Serif" w:hAnsi="Liberation Serif" w:cs="Liberation Serif"/>
          <w:sz w:val="26"/>
          <w:szCs w:val="26"/>
          <w:highlight w:val="white"/>
        </w:rPr>
        <w:t xml:space="preserve">О внесении изменений в постановление Правительства Свердловской области  от 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</w:t>
      </w:r>
      <w:r>
        <w:rPr>
          <w:rFonts w:ascii="Liberation Serif" w:hAnsi="Liberation Serif" w:cs="Liberation Serif"/>
          <w:sz w:val="26"/>
          <w:szCs w:val="26"/>
          <w:highlight w:val="white"/>
        </w:rPr>
        <w:t>территории Свердловской области»</w:t>
      </w:r>
    </w:p>
    <w:p w:rsidR="008F288A" w:rsidRDefault="008F288A">
      <w:pPr>
        <w:jc w:val="center"/>
        <w:rPr>
          <w:rFonts w:ascii="Liberation Serif" w:hAnsi="Liberation Serif" w:cs="Liberation Serif"/>
          <w:sz w:val="26"/>
          <w:szCs w:val="26"/>
          <w:highlight w:val="white"/>
        </w:rPr>
      </w:pPr>
    </w:p>
    <w:p w:rsidR="008F288A" w:rsidRDefault="008F288A">
      <w:pPr>
        <w:jc w:val="center"/>
        <w:rPr>
          <w:rFonts w:ascii="Liberation Serif" w:hAnsi="Liberation Serif" w:cs="Liberation Serif"/>
          <w:i/>
          <w:sz w:val="26"/>
          <w:szCs w:val="26"/>
          <w:highlight w:val="white"/>
        </w:rPr>
      </w:pPr>
    </w:p>
    <w:p w:rsidR="008F288A" w:rsidRDefault="00527268">
      <w:pPr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>
        <w:rPr>
          <w:rFonts w:ascii="Liberation Serif" w:hAnsi="Liberation Serif" w:cs="Liberation Serif"/>
          <w:sz w:val="26"/>
          <w:szCs w:val="26"/>
          <w:highlight w:val="white"/>
        </w:rPr>
        <w:t>В соответствии со статьей 101 Областного закона от 10 марта 1999 года № 4</w:t>
      </w:r>
      <w:r>
        <w:rPr>
          <w:rFonts w:ascii="Liberation Serif" w:hAnsi="Liberation Serif" w:cs="Liberation Serif"/>
          <w:sz w:val="26"/>
          <w:szCs w:val="26"/>
          <w:highlight w:val="white"/>
        </w:rPr>
        <w:noBreakHyphen/>
        <w:t>ОЗ «О правовых актах в Свердловской области» Правительство Свердловской области</w:t>
      </w:r>
    </w:p>
    <w:p w:rsidR="008F288A" w:rsidRDefault="00527268">
      <w:pPr>
        <w:tabs>
          <w:tab w:val="left" w:pos="0"/>
        </w:tabs>
        <w:autoSpaceDE w:val="0"/>
        <w:jc w:val="both"/>
        <w:outlineLvl w:val="0"/>
        <w:rPr>
          <w:rFonts w:ascii="Liberation Serif" w:hAnsi="Liberation Serif" w:cs="Liberation Serif"/>
          <w:b/>
          <w:sz w:val="26"/>
          <w:szCs w:val="26"/>
          <w:highlight w:val="white"/>
        </w:rPr>
      </w:pPr>
      <w:r>
        <w:rPr>
          <w:rFonts w:ascii="Liberation Serif" w:hAnsi="Liberation Serif" w:cs="Liberation Serif"/>
          <w:b/>
          <w:sz w:val="26"/>
          <w:szCs w:val="26"/>
          <w:highlight w:val="white"/>
        </w:rPr>
        <w:t>ПОСТАНОВЛЯЕТ: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</w:rPr>
        <w:t xml:space="preserve">1. Внести в постановление Правительства Свердловской </w:t>
      </w:r>
      <w:r>
        <w:rPr>
          <w:rFonts w:ascii="Liberation Serif" w:hAnsi="Liberation Serif" w:cs="Liberation Serif"/>
          <w:sz w:val="26"/>
          <w:szCs w:val="26"/>
          <w:highlight w:val="white"/>
        </w:rPr>
        <w:t xml:space="preserve">области от 27.04.2017 № 295-ПП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</w:rPr>
        <w:t>«Об утверждении Порядка разработки и утверждения схем размещения нестационарных торговых объектов в муниципальных образованиях, расположенных на территории Свердловской области» («Областная газета», № 80, 06.05.2017), с измен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</w:rPr>
        <w:t>ениями, внесенными постановлениями Правительства Свердловской области от 22.11.2017 № 859-ПП, от 01.08.2019 № 453-ПП, от 29.08.2019 № 555-ПП, Решением Свердловского областного суда от 15.02.2019 по делу № 3а-24/2019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, следующ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е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е изменение: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пункт 3 изложить в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 следующей редакции: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«3. Контроль за исполнением настоящего постановления возложить на Заместителя Губернатора Свердловской области А.В. Шмыкова.».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2. Внести в Порядок разработки и утверждения схем размещения нестационарных торговых объектов в муниципальны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х образованиях, расположенных на территории Свердловской области, утвержденный постановлением Правительства Свердловской области от 27.04.2017 № 295-ПП следующ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и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е изменени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я: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1) абзац 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первый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 пункта 3 изложить в следующей редакции: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«3. Разработка Схемы размещ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ения осуществляется с учетом необходимости обеспечения устойчивого развития территорий и в следующих целях:»; 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2) подпункт 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2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 пункта 3 изложить в следующей редакции: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«2) достижение установленных нормативов минимальной обеспеченности населения Свердловской о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бласти площадью нестационарных торговых объектов, достижение указанных нормативов не является основанием для отказа во включении в Схему размещения новых мест по заявлению заинтересованных лиц;»;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3) в абзаце второ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м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 подпункта 2 пункта 4 слова «иное;» 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заменить словами «иное (торговля специализированная: продовольственная или непродовольственная,  торговля универсальная, бытовые услуги, продажа печатной продукции, услуги общественного питания);»; 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4) подпункт 2 пункта 4 дополнить абзацем шестым следующег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о содержания: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«действующее место размещения нестационарного торгового объекта - место фактического размещения нестационарного торгового объекта, право на размещение 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lastRenderedPageBreak/>
        <w:t>которого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 предоставлено хозяйствующему субъекту в порядке, установленном действующим законод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ательством;»;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5) пункт 9 признать утратившим силу;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6) пункт 12 изложить в следующей редакции: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«12. Схема размещения представляет собой документ определяющий 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действующие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 и перспективные места размещения нестационарных торговых объектов, включающий в себя сведения о местонахождении нестационарного торгового объекта (адресные ориентиры места размещения нестационарного торгового объекта); специализации нестационарного торгов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ого объекта (торговля универсальная, торговля специализированная: продовольственная или непродовольственная, бытовые услуги, продажа печатной продукции, услуги общественного питания), типе нестационарного торгового объекта, площади места размещения нестаци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онарного торгового объекта, периоде использования места размещения нестационарного торгового объекта (сезонное, круглогодичное), а также о компенсационных местах размещения нестационарного торгового объекта.»;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5) пункт 13 изложить в следующей редакции: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«Пр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и осуществлении торговой деятельности в нестационарном торговом объекте должна соблюдаться специализация нестационарного торгового объекта, сведения о которой включены в Схему размещения. Изменение специализации осуществляется в соответствии с пунктом 33-1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 настоящего порядка.»;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6) пункт 14 изложить в новой редакции: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«14. Период использования места размещения нестационарного торгового объекта может устанавливаться в Схеме размещения: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1) для мест размещения нестационарных торговых объектов постоянного размеще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ния и передвижных (мобильных) нестационарных торговых объектов -  круглогодично;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2) для мест размещения нестационарных торговых объектов временного размещения - сезонное.»;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7) пункт 17 изложить в новой редакции: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«17. Схема размещения нестационарных торговы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х объектов должна предусматривать: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1) 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рговых объектов;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2) размещение не менее 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семи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 процентов нестационарных торговых объектов, используемых производителями сельскохозяйственной продукции (юридическими лицами, индивидуальными предпринимателями), зарегистрированными в установленном законодательс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твом Российской Федерации порядке, а также гражданами (в том числе главами крестьянских (фермерских) хозяйств, членами таких хозяйств, гражданами, ведущими личное подсобное хозяйство или занимающимися садоводством, огородничеством, животноводством).»;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8) п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ункт 18-1 изложить в 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следующей 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редакции: 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«18-1. Инвентаризация существующих нестационарных торговых объектов и мест их размещения проводится по инициативе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уполномоченн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ого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 орган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а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 местного самоуправления при разработке Схемы размещения и (или) при внесении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изменений в Схему размещения.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lastRenderedPageBreak/>
        <w:t xml:space="preserve">Итоги проведенной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инвентаризации размещ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аются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 на официальном сайте муниципального образования в информационно-телекоммуникационной сети «Интернет» и публикации в местных средствах массовой информации, в обязательном порядке про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ходят процедуру общественных слушаний в установленные органом местного самоуправления сроки»;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9) пункт 27 изложить в следующей редакции: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«27. Предложени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е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 о развитии сети нестационарных торговых объектов оформля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ю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тся в форме предложения о включении мест разм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ещения нестационарных торговых объектов в Схему размещения, об изменении сведений о месте размещения нестационарного торгового объекта и (или) нестационарном торговом объекте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br/>
        <w:t>(далее - предложения).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Не допускается требовать от заявителей иное, за исключение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м предложения.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В случае отказа во включении в Схему размещения либо внесени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и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 иных изменений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 в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 сведени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я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 о месте размещения нестационарного торгового объекта и (или) сведений о нестационарном торговом объекте указываются соответствующие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основания отказа.»;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10) пункт 32 изложить в следующей редакции: 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«32. Внесение изменений и дополнений в Схему размещения включает следующие этапы: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1) рассмотрение органом местного самоуправления предложений о включении в Схему размещения мест размещения нестационарных торговы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х объектов, видов и типов нестационарных торговых объектов, об изменени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и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 специализации по поступающим предложениям;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2) согласование включения в Схему размещения нестационарных торговых объектов, расположенных на земельных участках, находящихся в государств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енной собственности, а также на земельных участках, государственная собственность на которые не разграничена, с федеральным органом исполнительной власти или органом исполнительной власти субъекта Российской Федерации, осуществляющим полномочия собственник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а имущества;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3) разработка проекта изменений и дополнений в Схему размещения;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4) утверждение изменений и дополнений в Схему размещения правовым актом органа местного самоуправления;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5) опубликование утвержденных изменений и дополнений в Схему размещения в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порядке, установленном для официального опубликования Схемы размещения, а также размещение на официальных сайтах Министерства агропромышленного комплекса и потребительского рынка Свердловской области и органа местного самоуправления в информационно-телеком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муникационной сети «Интернет».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Срок рассмотрения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предложений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 от населения, субъектов предпринимательской деятельности, иных заинтересованных лиц по существу с принятием решения о включении предложенных мест размещения или об отказе во включении предложенны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х мест размещения нестационарных торговых объектов в Схему размещения не должен превышать 90 календарных дней с даты их регистрации.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Рассмотрение предложений об изменении сведений о месте размещения нестационарного торгового объекта и (или) нестационарном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торговом объекте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br/>
        <w:t>рассматриваются органом местного самоуправления в срок не превышающий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br/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30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 календарных дней.»; 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11) пункт 33 изложить в следующей редакции: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lastRenderedPageBreak/>
        <w:t>«33. Основаниями для внесении изменений в Схему размещения являются: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1) реализация долгосрочных страт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егических и целевых программ муниципальных образований, расположенных на территории Свердловской области;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2) необходимость достижения нормативов минимальной обеспеченности населения площадью торговых объектов;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3) новая застройка отдельных элементов планиро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4) ремонт и реконструкция автомобильных дорог, повлекшие необходимость переноса мест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а размещения нестационарного торгового объекта, а также иные случаи возникновения необходимости использования земельного участка, на котором размещен нестационарный торговый объект, для государственных или муниципальных нужд;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5) прекращение деятельности не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стационарных торговых объектов, принятие уполномоченн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ым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 органом местного самоуправления решения по предложениям хозяйствующих субъектов об изменении сведений о месте размещения нестационарного торгового объекта и (или) нестационарном торговом объекте;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6) п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ринятие уполномоченн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ым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 органом местного самоуправления решений по поступающим предложениям от населения, субъектов предпринимательской деятельности, иных заинтересованных лиц.».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12) главу 3 дополнить пунктом 33-1 следующего содержания: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«33-1. Внесение изме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>нений в Схему размещения в части изменения специализации нестационарного торгового объекта осуществляется уполномоченным органом местного самоуправления, при получении уведомления об изменении специализации нестационарного торгового объекта от хозяйствующе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го субъекта, которому предоставлено место размещения». </w:t>
      </w:r>
    </w:p>
    <w:p w:rsidR="008F288A" w:rsidRDefault="0052726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13) в пункте 34 слова «заинтересованных лиц.»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заменить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ru-RU"/>
        </w:rPr>
        <w:t xml:space="preserve">словами «заинтересованных лиц, в срок до 45 календарных дней.». </w:t>
      </w:r>
    </w:p>
    <w:p w:rsidR="008F288A" w:rsidRDefault="00527268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3. Настоящее постановление опубликовать на «Официальном интернет-портале правово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й информации Свердловской области» (www.pravo.gov66.ru).</w:t>
      </w:r>
    </w:p>
    <w:p w:rsidR="008F288A" w:rsidRDefault="008F288A">
      <w:pPr>
        <w:autoSpaceDE w:val="0"/>
        <w:rPr>
          <w:rFonts w:ascii="Liberation Serif" w:hAnsi="Liberation Serif"/>
          <w:sz w:val="26"/>
          <w:szCs w:val="26"/>
        </w:rPr>
      </w:pPr>
    </w:p>
    <w:p w:rsidR="008F288A" w:rsidRDefault="008F288A">
      <w:pPr>
        <w:autoSpaceDE w:val="0"/>
        <w:rPr>
          <w:rFonts w:ascii="Liberation Serif" w:hAnsi="Liberation Serif"/>
          <w:sz w:val="26"/>
          <w:szCs w:val="26"/>
        </w:rPr>
      </w:pPr>
    </w:p>
    <w:p w:rsidR="008F288A" w:rsidRDefault="00527268">
      <w:pPr>
        <w:autoSpaceDE w:val="0"/>
        <w:rPr>
          <w:rFonts w:ascii="Liberation Serif" w:hAnsi="Liberation Serif" w:cs="Liberation Serif"/>
          <w:sz w:val="26"/>
          <w:szCs w:val="26"/>
          <w:highlight w:val="white"/>
          <w:lang w:eastAsia="ru-RU"/>
        </w:rPr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>Губернатор</w:t>
      </w:r>
    </w:p>
    <w:p w:rsidR="008F288A" w:rsidRDefault="00527268">
      <w:pPr>
        <w:autoSpaceDE w:val="0"/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sectPr w:rsidR="008F288A">
          <w:headerReference w:type="even" r:id="rId7"/>
          <w:headerReference w:type="default" r:id="rId8"/>
          <w:headerReference w:type="first" r:id="rId9"/>
          <w:pgSz w:w="11906" w:h="16838"/>
          <w:pgMar w:top="1569" w:right="567" w:bottom="1134" w:left="1417" w:header="1134" w:footer="0" w:gutter="0"/>
          <w:cols w:space="720"/>
          <w:formProt w:val="0"/>
          <w:titlePg/>
          <w:docGrid w:linePitch="600" w:charSpace="36864"/>
        </w:sectPr>
      </w:pP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 xml:space="preserve">Свердловской области </w:t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ab/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ab/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ab/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ab/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ab/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ab/>
      </w:r>
      <w:r>
        <w:rPr>
          <w:rFonts w:ascii="Liberation Serif" w:hAnsi="Liberation Serif" w:cs="Liberation Serif"/>
          <w:sz w:val="26"/>
          <w:szCs w:val="26"/>
          <w:highlight w:val="white"/>
          <w:lang w:eastAsia="ru-RU"/>
        </w:rPr>
        <w:tab/>
        <w:t xml:space="preserve">                Е.В. Куйвашев</w:t>
      </w:r>
    </w:p>
    <w:p w:rsidR="008F288A" w:rsidRDefault="00527268">
      <w:pPr>
        <w:spacing w:line="228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highlight w:val="white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highlight w:val="white"/>
        </w:rPr>
        <w:lastRenderedPageBreak/>
        <w:t xml:space="preserve">ЛИСТ </w:t>
      </w:r>
      <w:r>
        <w:rPr>
          <w:rFonts w:ascii="Liberation Serif" w:eastAsia="Times New Roman" w:hAnsi="Liberation Serif" w:cs="Liberation Serif"/>
          <w:b/>
          <w:sz w:val="24"/>
          <w:szCs w:val="24"/>
          <w:highlight w:val="white"/>
        </w:rPr>
        <w:t>СОГЛАСОВАНИЯ</w:t>
      </w:r>
    </w:p>
    <w:p w:rsidR="008F288A" w:rsidRDefault="00527268">
      <w:pPr>
        <w:spacing w:line="228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highlight w:val="white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highlight w:val="white"/>
        </w:rPr>
        <w:t>проекта постановления Правительства Свердловской области</w:t>
      </w:r>
    </w:p>
    <w:p w:rsidR="008F288A" w:rsidRDefault="00527268">
      <w:pPr>
        <w:spacing w:line="228" w:lineRule="auto"/>
        <w:jc w:val="center"/>
      </w:pPr>
      <w:hyperlink r:id="rId10"/>
    </w:p>
    <w:tbl>
      <w:tblPr>
        <w:tblW w:w="9920" w:type="dxa"/>
        <w:tblInd w:w="4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0"/>
        <w:gridCol w:w="2200"/>
        <w:gridCol w:w="1580"/>
        <w:gridCol w:w="1480"/>
        <w:gridCol w:w="1760"/>
      </w:tblGrid>
      <w:tr w:rsidR="008F288A">
        <w:tc>
          <w:tcPr>
            <w:tcW w:w="2900" w:type="dxa"/>
            <w:tcBorders>
              <w:bottom w:val="single" w:sz="4" w:space="0" w:color="000000"/>
            </w:tcBorders>
          </w:tcPr>
          <w:p w:rsidR="008F288A" w:rsidRDefault="00527268">
            <w:pPr>
              <w:spacing w:line="228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  <w:t>Наименовани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  <w:t>е проекта:</w:t>
            </w:r>
          </w:p>
        </w:tc>
        <w:tc>
          <w:tcPr>
            <w:tcW w:w="7020" w:type="dxa"/>
            <w:gridSpan w:val="4"/>
            <w:tcBorders>
              <w:bottom w:val="single" w:sz="4" w:space="0" w:color="000000"/>
            </w:tcBorders>
          </w:tcPr>
          <w:p w:rsidR="008F288A" w:rsidRDefault="00527268">
            <w:pPr>
              <w:pStyle w:val="ConsPlusTitle"/>
              <w:widowControl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highlight w:val="white"/>
                <w:lang w:eastAsia="en-US"/>
              </w:rPr>
              <w:t>«О внесении изменений в постановление Прав</w:t>
            </w:r>
            <w:r w:rsidR="00E720BE">
              <w:rPr>
                <w:rFonts w:ascii="Liberation Serif" w:eastAsia="Calibri" w:hAnsi="Liberation Serif" w:cs="Liberation Serif"/>
                <w:sz w:val="24"/>
                <w:szCs w:val="24"/>
                <w:highlight w:val="white"/>
                <w:lang w:eastAsia="en-US"/>
              </w:rPr>
              <w:t xml:space="preserve">ительства Свердловской области </w:t>
            </w:r>
            <w:bookmarkStart w:id="0" w:name="_GoBack"/>
            <w:bookmarkEnd w:id="0"/>
            <w:r>
              <w:rPr>
                <w:rFonts w:ascii="Liberation Serif" w:eastAsia="Calibri" w:hAnsi="Liberation Serif" w:cs="Liberation Serif"/>
                <w:sz w:val="24"/>
                <w:szCs w:val="24"/>
                <w:highlight w:val="white"/>
                <w:lang w:eastAsia="en-US"/>
              </w:rPr>
              <w:t>от 27.04.2017 № 295-ПП «Об утверждении Порядка разработки и утверждения схем размещения нестационарных торговых объектов в муниципальных образованиях, расположенных на тер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highlight w:val="white"/>
                <w:lang w:eastAsia="en-US"/>
              </w:rPr>
              <w:t>ритории Свердловской области»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»</w:t>
            </w:r>
          </w:p>
          <w:p w:rsidR="008F288A" w:rsidRDefault="008F288A">
            <w:pPr>
              <w:rPr>
                <w:rFonts w:ascii="Liberation Serif" w:hAnsi="Liberation Serif"/>
              </w:rPr>
            </w:pPr>
          </w:p>
        </w:tc>
      </w:tr>
      <w:tr w:rsidR="008F288A"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88A" w:rsidRDefault="00527268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highlight w:val="white"/>
              </w:rPr>
              <w:t>Должность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88A" w:rsidRDefault="00527268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highlight w:val="white"/>
              </w:rPr>
              <w:t>Инициалы</w:t>
            </w:r>
          </w:p>
          <w:p w:rsidR="008F288A" w:rsidRDefault="00527268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highlight w:val="white"/>
              </w:rPr>
              <w:t>и фамилия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88A" w:rsidRDefault="00527268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highlight w:val="white"/>
              </w:rPr>
              <w:t>Сроки и результаты согласования</w:t>
            </w:r>
          </w:p>
        </w:tc>
      </w:tr>
      <w:tr w:rsidR="008F288A"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88A" w:rsidRDefault="008F288A"/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88A" w:rsidRDefault="008F288A"/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8F288A" w:rsidRDefault="00527268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highlight w:val="white"/>
              </w:rPr>
              <w:t>Дата поступ-ления на согласование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8F288A" w:rsidRDefault="00527268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highlight w:val="white"/>
              </w:rPr>
              <w:t>Дата согласования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8A" w:rsidRDefault="00527268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highlight w:val="white"/>
              </w:rPr>
              <w:t>Замечания</w:t>
            </w:r>
          </w:p>
          <w:p w:rsidR="008F288A" w:rsidRDefault="00527268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highlight w:val="white"/>
              </w:rPr>
              <w:t>и подпись</w:t>
            </w:r>
          </w:p>
        </w:tc>
      </w:tr>
      <w:tr w:rsidR="008F288A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88A" w:rsidRDefault="008F288A">
            <w:pPr>
              <w:spacing w:line="228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</w:pPr>
          </w:p>
          <w:p w:rsidR="008F288A" w:rsidRDefault="00527268">
            <w:pPr>
              <w:spacing w:line="228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  <w:t>Первый Заместитель Губернатора Свердловской области</w:t>
            </w:r>
          </w:p>
          <w:p w:rsidR="008F288A" w:rsidRDefault="008F288A">
            <w:pPr>
              <w:spacing w:line="228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88A" w:rsidRDefault="00527268">
            <w:pPr>
              <w:spacing w:before="240" w:after="240" w:line="228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  <w:t>А.Г. Высокинский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88A" w:rsidRDefault="008F288A">
            <w:pPr>
              <w:spacing w:before="240" w:after="240"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88A" w:rsidRDefault="008F288A">
            <w:pPr>
              <w:spacing w:before="240" w:after="240"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88A" w:rsidRDefault="008F288A">
            <w:pPr>
              <w:spacing w:before="240" w:after="240"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</w:pPr>
          </w:p>
        </w:tc>
      </w:tr>
      <w:tr w:rsidR="008F288A"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88A" w:rsidRDefault="00527268">
            <w:pPr>
              <w:pStyle w:val="aff1"/>
              <w:tabs>
                <w:tab w:val="left" w:pos="9639"/>
              </w:tabs>
              <w:spacing w:line="228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Заместитель Губернатора Свердловской области – Руководитель Аппарата Губернатора Свердловской области </w:t>
            </w:r>
          </w:p>
          <w:p w:rsidR="008F288A" w:rsidRDefault="00527268">
            <w:pPr>
              <w:pStyle w:val="aff1"/>
              <w:tabs>
                <w:tab w:val="left" w:pos="9639"/>
              </w:tabs>
              <w:spacing w:line="228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и Правительства Свердловской области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88A" w:rsidRDefault="00527268">
            <w:pPr>
              <w:tabs>
                <w:tab w:val="left" w:pos="9639"/>
              </w:tabs>
              <w:spacing w:after="200"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В.А. Чайников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88A" w:rsidRDefault="008F288A">
            <w:pPr>
              <w:spacing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88A" w:rsidRDefault="008F288A">
            <w:pPr>
              <w:spacing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88A" w:rsidRDefault="008F288A">
            <w:pPr>
              <w:spacing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</w:pPr>
          </w:p>
        </w:tc>
      </w:tr>
      <w:tr w:rsidR="008F288A">
        <w:tc>
          <w:tcPr>
            <w:tcW w:w="2900" w:type="dxa"/>
            <w:tcBorders>
              <w:top w:val="single" w:sz="4" w:space="0" w:color="000000"/>
              <w:bottom w:val="single" w:sz="4" w:space="0" w:color="000000"/>
            </w:tcBorders>
          </w:tcPr>
          <w:p w:rsidR="008F288A" w:rsidRDefault="008F288A">
            <w:pPr>
              <w:spacing w:line="20" w:lineRule="atLeast"/>
              <w:rPr>
                <w:rFonts w:ascii="Liberation Serif" w:eastAsia="Times New Roman" w:hAnsi="Liberation Serif" w:cs="Liberation Serif"/>
                <w:highlight w:val="white"/>
              </w:rPr>
            </w:pPr>
          </w:p>
          <w:p w:rsidR="008F288A" w:rsidRDefault="00527268">
            <w:pPr>
              <w:spacing w:line="20" w:lineRule="atLeast"/>
            </w:pPr>
            <w:r>
              <w:rPr>
                <w:rFonts w:ascii="Liberation Serif" w:eastAsia="Times New Roman" w:hAnsi="Liberation Serif" w:cs="Liberation Serif"/>
                <w:highlight w:val="white"/>
              </w:rPr>
              <w:t>Ответственный за</w:t>
            </w:r>
            <w:r>
              <w:rPr>
                <w:rStyle w:val="a6"/>
                <w:rFonts w:ascii="Liberation Serif" w:eastAsia="Times New Roman" w:hAnsi="Liberation Serif" w:cs="Liberation Serif"/>
                <w:sz w:val="22"/>
                <w:szCs w:val="22"/>
                <w:highlight w:val="white"/>
              </w:rPr>
              <w:t> </w:t>
            </w:r>
            <w:r>
              <w:rPr>
                <w:rFonts w:ascii="Liberation Serif" w:eastAsia="Times New Roman" w:hAnsi="Liberation Serif" w:cs="Liberation Serif"/>
                <w:highlight w:val="white"/>
              </w:rPr>
              <w:t>содержание проекта: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F288A" w:rsidRDefault="008F288A">
            <w:pPr>
              <w:spacing w:line="20" w:lineRule="atLeast"/>
              <w:rPr>
                <w:rFonts w:ascii="Liberation Serif" w:eastAsia="Times New Roman" w:hAnsi="Liberation Serif" w:cs="Liberation Serif"/>
                <w:highlight w:val="white"/>
              </w:rPr>
            </w:pPr>
          </w:p>
          <w:p w:rsidR="008F288A" w:rsidRDefault="00527268">
            <w:pPr>
              <w:spacing w:line="20" w:lineRule="atLeast"/>
            </w:pPr>
            <w:r>
              <w:rPr>
                <w:rFonts w:ascii="Liberation Serif" w:eastAsia="Times New Roman" w:hAnsi="Liberation Serif" w:cs="Liberation Serif"/>
                <w:highlight w:val="white"/>
              </w:rPr>
              <w:t xml:space="preserve">Министр агропромышленного комплекса и потребительского </w:t>
            </w:r>
            <w:r>
              <w:rPr>
                <w:rFonts w:ascii="Liberation Serif" w:eastAsia="Times New Roman" w:hAnsi="Liberation Serif" w:cs="Liberation Serif"/>
                <w:highlight w:val="white"/>
              </w:rPr>
              <w:t>рынка Свердловской области А.А. Бахтерев</w:t>
            </w:r>
          </w:p>
        </w:tc>
      </w:tr>
      <w:tr w:rsidR="008F288A">
        <w:tc>
          <w:tcPr>
            <w:tcW w:w="2900" w:type="dxa"/>
            <w:tcBorders>
              <w:top w:val="single" w:sz="4" w:space="0" w:color="000000"/>
            </w:tcBorders>
          </w:tcPr>
          <w:p w:rsidR="008F288A" w:rsidRDefault="00527268">
            <w:pPr>
              <w:spacing w:line="20" w:lineRule="atLeast"/>
              <w:ind w:left="-28"/>
              <w:rPr>
                <w:rFonts w:ascii="Liberation Serif" w:hAnsi="Liberation Serif" w:cs="Liberation Serif"/>
                <w:sz w:val="21"/>
                <w:szCs w:val="21"/>
                <w:highlight w:val="white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  <w:highlight w:val="white"/>
              </w:rPr>
              <w:t>Исполнители: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F288A" w:rsidRDefault="00527268">
            <w:pPr>
              <w:spacing w:line="20" w:lineRule="atLeast"/>
              <w:rPr>
                <w:rFonts w:ascii="Liberation Serif" w:hAnsi="Liberation Serif" w:cs="Liberation Serif"/>
                <w:sz w:val="21"/>
                <w:szCs w:val="21"/>
                <w:highlight w:val="white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  <w:highlight w:val="white"/>
              </w:rPr>
              <w:t xml:space="preserve">Будлянский Дмитрий Евгеньевич, заместитель начальник отдела регулирования и развития торговой деятельности Министерства агропромышленного комплекса и потребительского рынка Свердловской области, (343) </w:t>
            </w:r>
            <w:r>
              <w:rPr>
                <w:rFonts w:ascii="Liberation Serif" w:hAnsi="Liberation Serif" w:cs="Liberation Serif"/>
                <w:sz w:val="21"/>
                <w:szCs w:val="21"/>
                <w:highlight w:val="white"/>
              </w:rPr>
              <w:t>312-00-07 (доб. 327)</w:t>
            </w:r>
          </w:p>
        </w:tc>
      </w:tr>
    </w:tbl>
    <w:p w:rsidR="008F288A" w:rsidRDefault="00527268">
      <w:pPr>
        <w:spacing w:line="20" w:lineRule="atLeast"/>
      </w:pPr>
      <w:hyperlink r:id="rId11"/>
    </w:p>
    <w:sectPr w:rsidR="008F28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7" w:right="1418" w:bottom="1417" w:left="567" w:header="1134" w:footer="1134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68" w:rsidRDefault="00527268">
      <w:r>
        <w:separator/>
      </w:r>
    </w:p>
  </w:endnote>
  <w:endnote w:type="continuationSeparator" w:id="0">
    <w:p w:rsidR="00527268" w:rsidRDefault="0052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8A" w:rsidRDefault="008F288A">
    <w:pPr>
      <w:pStyle w:val="ConsPlusNormal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8A" w:rsidRDefault="008F288A">
    <w:pPr>
      <w:pStyle w:val="ConsPlusNormal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68" w:rsidRDefault="00527268">
      <w:r>
        <w:separator/>
      </w:r>
    </w:p>
  </w:footnote>
  <w:footnote w:type="continuationSeparator" w:id="0">
    <w:p w:rsidR="00527268" w:rsidRDefault="0052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8A" w:rsidRDefault="00527268">
    <w:pPr>
      <w:pStyle w:val="aff3"/>
      <w:jc w:val="center"/>
      <w:rPr>
        <w:rFonts w:ascii="Liberation Serif" w:hAnsi="Liberation Serif"/>
        <w:sz w:val="27"/>
        <w:szCs w:val="27"/>
      </w:rPr>
    </w:pPr>
    <w:r>
      <w:rPr>
        <w:rFonts w:ascii="Liberation Serif" w:hAnsi="Liberation Serif"/>
        <w:sz w:val="27"/>
        <w:szCs w:val="27"/>
      </w:rPr>
      <w:fldChar w:fldCharType="begin"/>
    </w:r>
    <w:r>
      <w:rPr>
        <w:rFonts w:ascii="Liberation Serif" w:hAnsi="Liberation Serif"/>
        <w:sz w:val="27"/>
        <w:szCs w:val="27"/>
      </w:rPr>
      <w:instrText>PAGE</w:instrText>
    </w:r>
    <w:r>
      <w:rPr>
        <w:rFonts w:ascii="Liberation Serif" w:hAnsi="Liberation Serif"/>
        <w:sz w:val="27"/>
        <w:szCs w:val="27"/>
      </w:rPr>
      <w:fldChar w:fldCharType="separate"/>
    </w:r>
    <w:r w:rsidR="00E720BE">
      <w:rPr>
        <w:rFonts w:ascii="Liberation Serif" w:hAnsi="Liberation Serif"/>
        <w:noProof/>
        <w:sz w:val="27"/>
        <w:szCs w:val="27"/>
      </w:rPr>
      <w:t>4</w:t>
    </w:r>
    <w:r>
      <w:rPr>
        <w:rFonts w:ascii="Liberation Serif" w:hAnsi="Liberation Serif"/>
        <w:sz w:val="27"/>
        <w:szCs w:val="2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8A" w:rsidRDefault="00527268">
    <w:pPr>
      <w:pStyle w:val="aff3"/>
      <w:jc w:val="center"/>
      <w:rPr>
        <w:rFonts w:ascii="Liberation Serif" w:hAnsi="Liberation Serif"/>
        <w:sz w:val="28"/>
        <w:szCs w:val="28"/>
      </w:rPr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>PAGE</w:instrText>
    </w:r>
    <w:r>
      <w:rPr>
        <w:rFonts w:ascii="Liberation Serif" w:hAnsi="Liberation Serif"/>
        <w:sz w:val="28"/>
        <w:szCs w:val="28"/>
      </w:rPr>
      <w:fldChar w:fldCharType="separate"/>
    </w:r>
    <w:r w:rsidR="00E720BE"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8A" w:rsidRDefault="008F288A">
    <w:pPr>
      <w:pStyle w:val="aff3"/>
      <w:jc w:val="center"/>
      <w:rPr>
        <w:rFonts w:ascii="Liberation Serif" w:hAnsi="Liberation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8A" w:rsidRDefault="00527268">
    <w:pPr>
      <w:pStyle w:val="aff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>PAGE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0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8A" w:rsidRDefault="00527268">
    <w:pPr>
      <w:pStyle w:val="aff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>PAGE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0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8A" w:rsidRDefault="008F288A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C3D"/>
    <w:multiLevelType w:val="multilevel"/>
    <w:tmpl w:val="3FF622A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88A"/>
    <w:rsid w:val="00527268"/>
    <w:rsid w:val="008F288A"/>
    <w:rsid w:val="00E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C4CD"/>
  <w15:docId w15:val="{7E213997-5D22-4B6D-A78C-F37AF612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40" w:lineRule="auto"/>
    </w:p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160"/>
      <w:ind w:firstLine="709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pPr>
      <w:numPr>
        <w:ilvl w:val="1"/>
        <w:numId w:val="1"/>
      </w:numPr>
      <w:pBdr>
        <w:bottom w:val="single" w:sz="6" w:space="5" w:color="C9E3F6"/>
      </w:pBdr>
      <w:spacing w:after="135"/>
      <w:outlineLvl w:val="1"/>
    </w:pPr>
    <w:rPr>
      <w:rFonts w:ascii="Times New Roman" w:eastAsia="Times New Roman" w:hAnsi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after="160"/>
      <w:ind w:firstLine="709"/>
      <w:jc w:val="both"/>
      <w:outlineLvl w:val="2"/>
    </w:pPr>
    <w:rPr>
      <w:rFonts w:ascii="Cambria" w:eastAsia="Times New Roman" w:hAnsi="Cambria"/>
      <w:b/>
      <w:bCs/>
      <w:color w:val="4F81BD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168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примечания Знак"/>
    <w:qFormat/>
  </w:style>
  <w:style w:type="character" w:customStyle="1" w:styleId="10">
    <w:name w:val="Текст примечания Знак1"/>
    <w:basedOn w:val="a2"/>
    <w:qFormat/>
    <w:rPr>
      <w:rFonts w:ascii="Calibri" w:eastAsia="Calibri" w:hAnsi="Calibri" w:cs="Times New Roman"/>
      <w:sz w:val="20"/>
      <w:szCs w:val="20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a7">
    <w:name w:val="Текст выноски Знак"/>
    <w:basedOn w:val="a2"/>
    <w:qFormat/>
    <w:rPr>
      <w:rFonts w:ascii="Segoe UI" w:eastAsia="Calibri" w:hAnsi="Segoe UI" w:cs="Segoe UI"/>
      <w:sz w:val="18"/>
      <w:szCs w:val="18"/>
    </w:rPr>
  </w:style>
  <w:style w:type="character" w:customStyle="1" w:styleId="ConsPlusNormal">
    <w:name w:val="ConsPlusNormal Знак"/>
    <w:qFormat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2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qFormat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2"/>
    <w:qFormat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60">
    <w:name w:val="Заголовок 6 Знак"/>
    <w:basedOn w:val="a2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2"/>
    <w:qFormat/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2"/>
    <w:qFormat/>
    <w:rPr>
      <w:rFonts w:ascii="Calibri" w:eastAsia="Calibri" w:hAnsi="Calibri" w:cs="Times New Roman"/>
    </w:rPr>
  </w:style>
  <w:style w:type="character" w:styleId="aa">
    <w:name w:val="Hyperlink"/>
    <w:qFormat/>
    <w:rPr>
      <w:color w:val="0B7FD6"/>
      <w:u w:val="single"/>
    </w:rPr>
  </w:style>
  <w:style w:type="character" w:styleId="ab">
    <w:name w:val="Strong"/>
    <w:qFormat/>
    <w:rPr>
      <w:b/>
      <w:bCs/>
    </w:rPr>
  </w:style>
  <w:style w:type="character" w:customStyle="1" w:styleId="ac">
    <w:name w:val="Основной текст с отступом Знак"/>
    <w:basedOn w:val="a2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gesindoccount">
    <w:name w:val="pagesindoccount"/>
    <w:qFormat/>
  </w:style>
  <w:style w:type="character" w:customStyle="1" w:styleId="ad">
    <w:name w:val="Тема примечания Знак"/>
    <w:qFormat/>
    <w:rPr>
      <w:b/>
      <w:bCs/>
    </w:rPr>
  </w:style>
  <w:style w:type="character" w:customStyle="1" w:styleId="12">
    <w:name w:val="Тема примечания Знак1"/>
    <w:basedOn w:val="a5"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ae">
    <w:name w:val="Основной текст Знак"/>
    <w:basedOn w:val="a2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rPr>
      <w:rFonts w:cs="Times New Roman"/>
    </w:rPr>
  </w:style>
  <w:style w:type="character" w:customStyle="1" w:styleId="apple-converted-space">
    <w:name w:val="apple-converted-space"/>
    <w:basedOn w:val="a2"/>
    <w:qFormat/>
  </w:style>
  <w:style w:type="character" w:styleId="af0">
    <w:name w:val="line number"/>
    <w:qFormat/>
  </w:style>
  <w:style w:type="character" w:customStyle="1" w:styleId="13">
    <w:name w:val="Обычный1 Знак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laceholder Text"/>
    <w:qFormat/>
    <w:rPr>
      <w:color w:val="808080"/>
    </w:rPr>
  </w:style>
  <w:style w:type="character" w:customStyle="1" w:styleId="af2">
    <w:name w:val="Текст сноски Знак"/>
    <w:basedOn w:val="a2"/>
    <w:qFormat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2"/>
    <w:rPr>
      <w:vertAlign w:val="superscript"/>
    </w:rPr>
  </w:style>
  <w:style w:type="character" w:customStyle="1" w:styleId="af4">
    <w:name w:val="Текст концевой сноски Знак"/>
    <w:qFormat/>
    <w:rPr>
      <w:lang w:eastAsia="en-US"/>
    </w:rPr>
  </w:style>
  <w:style w:type="character" w:styleId="af5">
    <w:name w:val="endnote reference"/>
    <w:rPr>
      <w:vertAlign w:val="superscript"/>
    </w:rPr>
  </w:style>
  <w:style w:type="character" w:customStyle="1" w:styleId="af6">
    <w:name w:val="Привязка сноски"/>
    <w:qFormat/>
    <w:rPr>
      <w:vertAlign w:val="superscript"/>
    </w:rPr>
  </w:style>
  <w:style w:type="character" w:customStyle="1" w:styleId="af7">
    <w:name w:val="Символ сноски"/>
    <w:qFormat/>
  </w:style>
  <w:style w:type="character" w:customStyle="1" w:styleId="af8">
    <w:name w:val="Привязка концевой сноски"/>
    <w:qFormat/>
    <w:rPr>
      <w:vertAlign w:val="superscript"/>
    </w:rPr>
  </w:style>
  <w:style w:type="character" w:customStyle="1" w:styleId="af9">
    <w:name w:val="Символ концевой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a">
    <w:name w:val="Заголовок Знак"/>
    <w:basedOn w:val="a2"/>
    <w:qFormat/>
    <w:rPr>
      <w:rFonts w:ascii="Liberation Sans" w:eastAsia="MS Gothic" w:hAnsi="Liberation Sans" w:cs="Tahoma"/>
      <w:sz w:val="28"/>
      <w:szCs w:val="28"/>
    </w:rPr>
  </w:style>
  <w:style w:type="character" w:customStyle="1" w:styleId="14">
    <w:name w:val="Текст концевой сноски Знак1"/>
    <w:basedOn w:val="a2"/>
    <w:qFormat/>
    <w:rPr>
      <w:rFonts w:ascii="Calibri" w:eastAsia="Calibri" w:hAnsi="Calibri" w:cs="Times New Roman"/>
      <w:sz w:val="20"/>
      <w:szCs w:val="20"/>
    </w:rPr>
  </w:style>
  <w:style w:type="character" w:customStyle="1" w:styleId="WWCharLFO2LVL1">
    <w:name w:val="WW_CharLFO2LVL1"/>
    <w:qFormat/>
    <w:rPr>
      <w:rFonts w:cs="Times New Roman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WWCharLFO3LVL1">
    <w:name w:val="WW_CharLFO3LVL1"/>
    <w:qFormat/>
    <w:rPr>
      <w:rFonts w:cs="Times New Roman"/>
    </w:rPr>
  </w:style>
  <w:style w:type="character" w:customStyle="1" w:styleId="WWCharLFO3LVL2">
    <w:name w:val="WW_CharLFO3LVL2"/>
    <w:qFormat/>
    <w:rPr>
      <w:rFonts w:cs="Times New Roman"/>
    </w:rPr>
  </w:style>
  <w:style w:type="character" w:customStyle="1" w:styleId="WWCharLFO3LVL3">
    <w:name w:val="WW_CharLFO3LVL3"/>
    <w:qFormat/>
    <w:rPr>
      <w:rFonts w:cs="Times New Roman"/>
    </w:rPr>
  </w:style>
  <w:style w:type="character" w:customStyle="1" w:styleId="WWCharLFO3LVL4">
    <w:name w:val="WW_CharLFO3LVL4"/>
    <w:qFormat/>
    <w:rPr>
      <w:rFonts w:cs="Times New Roman"/>
    </w:rPr>
  </w:style>
  <w:style w:type="character" w:customStyle="1" w:styleId="WWCharLFO3LVL5">
    <w:name w:val="WW_CharLFO3LVL5"/>
    <w:qFormat/>
    <w:rPr>
      <w:rFonts w:cs="Times New Roman"/>
    </w:rPr>
  </w:style>
  <w:style w:type="character" w:customStyle="1" w:styleId="WWCharLFO3LVL6">
    <w:name w:val="WW_CharLFO3LVL6"/>
    <w:qFormat/>
    <w:rPr>
      <w:rFonts w:cs="Times New Roman"/>
    </w:rPr>
  </w:style>
  <w:style w:type="character" w:customStyle="1" w:styleId="WWCharLFO3LVL7">
    <w:name w:val="WW_CharLFO3LVL7"/>
    <w:qFormat/>
    <w:rPr>
      <w:rFonts w:cs="Times New Roman"/>
    </w:rPr>
  </w:style>
  <w:style w:type="character" w:customStyle="1" w:styleId="WWCharLFO3LVL8">
    <w:name w:val="WW_CharLFO3LVL8"/>
    <w:qFormat/>
    <w:rPr>
      <w:rFonts w:cs="Times New Roman"/>
    </w:rPr>
  </w:style>
  <w:style w:type="character" w:customStyle="1" w:styleId="WWCharLFO3LVL9">
    <w:name w:val="WW_CharLFO3LVL9"/>
    <w:qFormat/>
    <w:rPr>
      <w:rFonts w:cs="Times New Roman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5LVL2">
    <w:name w:val="WW_CharLFO5LVL2"/>
    <w:qFormat/>
    <w:rPr>
      <w:rFonts w:cs="Times New Roman"/>
    </w:rPr>
  </w:style>
  <w:style w:type="character" w:customStyle="1" w:styleId="WWCharLFO5LVL3">
    <w:name w:val="WW_CharLFO5LVL3"/>
    <w:qFormat/>
    <w:rPr>
      <w:rFonts w:cs="Times New Roman"/>
    </w:rPr>
  </w:style>
  <w:style w:type="character" w:customStyle="1" w:styleId="WWCharLFO5LVL4">
    <w:name w:val="WW_CharLFO5LVL4"/>
    <w:qFormat/>
    <w:rPr>
      <w:rFonts w:cs="Times New Roman"/>
    </w:rPr>
  </w:style>
  <w:style w:type="character" w:customStyle="1" w:styleId="WWCharLFO5LVL5">
    <w:name w:val="WW_CharLFO5LVL5"/>
    <w:qFormat/>
    <w:rPr>
      <w:rFonts w:cs="Times New Roman"/>
    </w:rPr>
  </w:style>
  <w:style w:type="character" w:customStyle="1" w:styleId="WWCharLFO5LVL6">
    <w:name w:val="WW_CharLFO5LVL6"/>
    <w:qFormat/>
    <w:rPr>
      <w:rFonts w:cs="Times New Roman"/>
    </w:rPr>
  </w:style>
  <w:style w:type="character" w:customStyle="1" w:styleId="WWCharLFO5LVL7">
    <w:name w:val="WW_CharLFO5LVL7"/>
    <w:qFormat/>
    <w:rPr>
      <w:rFonts w:cs="Times New Roman"/>
    </w:rPr>
  </w:style>
  <w:style w:type="character" w:customStyle="1" w:styleId="WWCharLFO5LVL8">
    <w:name w:val="WW_CharLFO5LVL8"/>
    <w:qFormat/>
    <w:rPr>
      <w:rFonts w:cs="Times New Roman"/>
    </w:rPr>
  </w:style>
  <w:style w:type="character" w:customStyle="1" w:styleId="WWCharLFO5LVL9">
    <w:name w:val="WW_CharLFO5LVL9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character" w:customStyle="1" w:styleId="WWCharLFO7LVL1">
    <w:name w:val="WW_CharLFO7LVL1"/>
    <w:qFormat/>
    <w:rPr>
      <w:rFonts w:cs="Times New Roman"/>
    </w:rPr>
  </w:style>
  <w:style w:type="character" w:customStyle="1" w:styleId="WWCharLFO7LVL2">
    <w:name w:val="WW_CharLFO7LVL2"/>
    <w:qFormat/>
    <w:rPr>
      <w:rFonts w:cs="Times New Roman"/>
    </w:rPr>
  </w:style>
  <w:style w:type="character" w:customStyle="1" w:styleId="WWCharLFO7LVL3">
    <w:name w:val="WW_CharLFO7LVL3"/>
    <w:qFormat/>
    <w:rPr>
      <w:rFonts w:cs="Times New Roman"/>
    </w:rPr>
  </w:style>
  <w:style w:type="character" w:customStyle="1" w:styleId="WWCharLFO7LVL4">
    <w:name w:val="WW_CharLFO7LVL4"/>
    <w:qFormat/>
    <w:rPr>
      <w:rFonts w:cs="Times New Roman"/>
    </w:rPr>
  </w:style>
  <w:style w:type="character" w:customStyle="1" w:styleId="WWCharLFO7LVL5">
    <w:name w:val="WW_CharLFO7LVL5"/>
    <w:qFormat/>
    <w:rPr>
      <w:rFonts w:cs="Times New Roman"/>
    </w:rPr>
  </w:style>
  <w:style w:type="character" w:customStyle="1" w:styleId="WWCharLFO7LVL6">
    <w:name w:val="WW_CharLFO7LVL6"/>
    <w:qFormat/>
    <w:rPr>
      <w:rFonts w:cs="Times New Roman"/>
    </w:rPr>
  </w:style>
  <w:style w:type="character" w:customStyle="1" w:styleId="WWCharLFO7LVL7">
    <w:name w:val="WW_CharLFO7LVL7"/>
    <w:qFormat/>
    <w:rPr>
      <w:rFonts w:cs="Times New Roman"/>
    </w:rPr>
  </w:style>
  <w:style w:type="character" w:customStyle="1" w:styleId="WWCharLFO7LVL8">
    <w:name w:val="WW_CharLFO7LVL8"/>
    <w:qFormat/>
    <w:rPr>
      <w:rFonts w:cs="Times New Roman"/>
    </w:rPr>
  </w:style>
  <w:style w:type="character" w:customStyle="1" w:styleId="WWCharLFO7LVL9">
    <w:name w:val="WW_CharLFO7LVL9"/>
    <w:qFormat/>
    <w:rPr>
      <w:rFonts w:cs="Times New Roman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9LVL1">
    <w:name w:val="WW_CharLFO9LVL1"/>
    <w:qFormat/>
    <w:rPr>
      <w:rFonts w:ascii="Symbol" w:hAnsi="Symbol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1LVL1">
    <w:name w:val="WW_CharLFO11LVL1"/>
    <w:qFormat/>
    <w:rPr>
      <w:rFonts w:ascii="Symbol" w:hAnsi="Symbol"/>
    </w:rPr>
  </w:style>
  <w:style w:type="character" w:customStyle="1" w:styleId="WWCharLFO12LVL1">
    <w:name w:val="WW_CharLFO12LVL1"/>
    <w:qFormat/>
    <w:rPr>
      <w:rFonts w:ascii="Symbol" w:hAnsi="Symbol"/>
    </w:rPr>
  </w:style>
  <w:style w:type="character" w:customStyle="1" w:styleId="WWCharLFO13LVL1">
    <w:name w:val="WW_CharLFO13LVL1"/>
    <w:qFormat/>
    <w:rPr>
      <w:rFonts w:cs="Times New Roman"/>
    </w:rPr>
  </w:style>
  <w:style w:type="character" w:customStyle="1" w:styleId="WWCharLFO14LVL1">
    <w:name w:val="WW_CharLFO14LVL1"/>
    <w:qFormat/>
    <w:rPr>
      <w:rFonts w:cs="Times New Roman"/>
    </w:rPr>
  </w:style>
  <w:style w:type="character" w:customStyle="1" w:styleId="WWCharLFO15LVL1">
    <w:name w:val="WW_CharLFO15LVL1"/>
    <w:qFormat/>
    <w:rPr>
      <w:rFonts w:cs="Times New Roman"/>
    </w:rPr>
  </w:style>
  <w:style w:type="character" w:customStyle="1" w:styleId="WWCharLFO16LVL1">
    <w:name w:val="WW_CharLFO16LVL1"/>
    <w:qFormat/>
    <w:rPr>
      <w:rFonts w:cs="Times New Roman"/>
    </w:rPr>
  </w:style>
  <w:style w:type="character" w:customStyle="1" w:styleId="WWCharLFO17LVL1">
    <w:name w:val="WW_CharLFO17LVL1"/>
    <w:qFormat/>
    <w:rPr>
      <w:rFonts w:cs="Times New Roman"/>
    </w:rPr>
  </w:style>
  <w:style w:type="character" w:customStyle="1" w:styleId="WWCharLFO24LVL1">
    <w:name w:val="WW_CharLFO24LVL1"/>
    <w:qFormat/>
    <w:rPr>
      <w:rFonts w:ascii="Symbol" w:hAnsi="Symbol"/>
      <w:sz w:val="20"/>
    </w:rPr>
  </w:style>
  <w:style w:type="character" w:customStyle="1" w:styleId="WWCharLFO24LVL2">
    <w:name w:val="WW_CharLFO24LVL2"/>
    <w:qFormat/>
    <w:rPr>
      <w:rFonts w:ascii="Courier New" w:hAnsi="Courier New"/>
      <w:sz w:val="20"/>
    </w:rPr>
  </w:style>
  <w:style w:type="character" w:customStyle="1" w:styleId="WWCharLFO24LVL3">
    <w:name w:val="WW_CharLFO24LVL3"/>
    <w:qFormat/>
    <w:rPr>
      <w:rFonts w:ascii="Wingdings" w:hAnsi="Wingdings"/>
      <w:sz w:val="20"/>
    </w:rPr>
  </w:style>
  <w:style w:type="character" w:customStyle="1" w:styleId="WWCharLFO24LVL4">
    <w:name w:val="WW_CharLFO24LVL4"/>
    <w:qFormat/>
    <w:rPr>
      <w:rFonts w:ascii="Wingdings" w:hAnsi="Wingdings"/>
      <w:sz w:val="20"/>
    </w:rPr>
  </w:style>
  <w:style w:type="character" w:customStyle="1" w:styleId="WWCharLFO24LVL5">
    <w:name w:val="WW_CharLFO24LVL5"/>
    <w:qFormat/>
    <w:rPr>
      <w:rFonts w:ascii="Wingdings" w:hAnsi="Wingdings"/>
      <w:sz w:val="20"/>
    </w:rPr>
  </w:style>
  <w:style w:type="character" w:customStyle="1" w:styleId="WWCharLFO24LVL6">
    <w:name w:val="WW_CharLFO24LVL6"/>
    <w:qFormat/>
    <w:rPr>
      <w:rFonts w:ascii="Wingdings" w:hAnsi="Wingdings"/>
      <w:sz w:val="20"/>
    </w:rPr>
  </w:style>
  <w:style w:type="character" w:customStyle="1" w:styleId="WWCharLFO24LVL7">
    <w:name w:val="WW_CharLFO24LVL7"/>
    <w:qFormat/>
    <w:rPr>
      <w:rFonts w:ascii="Wingdings" w:hAnsi="Wingdings"/>
      <w:sz w:val="20"/>
    </w:rPr>
  </w:style>
  <w:style w:type="character" w:customStyle="1" w:styleId="WWCharLFO24LVL8">
    <w:name w:val="WW_CharLFO24LVL8"/>
    <w:qFormat/>
    <w:rPr>
      <w:rFonts w:ascii="Wingdings" w:hAnsi="Wingdings"/>
      <w:sz w:val="20"/>
    </w:rPr>
  </w:style>
  <w:style w:type="character" w:customStyle="1" w:styleId="WWCharLFO24LVL9">
    <w:name w:val="WW_CharLFO24LVL9"/>
    <w:qFormat/>
    <w:rPr>
      <w:rFonts w:ascii="Wingdings" w:hAnsi="Wingdings"/>
      <w:sz w:val="20"/>
    </w:rPr>
  </w:style>
  <w:style w:type="character" w:customStyle="1" w:styleId="WWCharLFO25LVL1">
    <w:name w:val="WW_CharLFO25LVL1"/>
    <w:qFormat/>
    <w:rPr>
      <w:rFonts w:ascii="Symbol" w:hAnsi="Symbol"/>
      <w:sz w:val="20"/>
    </w:rPr>
  </w:style>
  <w:style w:type="character" w:customStyle="1" w:styleId="WWCharLFO25LVL2">
    <w:name w:val="WW_CharLFO25LVL2"/>
    <w:qFormat/>
    <w:rPr>
      <w:rFonts w:ascii="Courier New" w:hAnsi="Courier New"/>
      <w:sz w:val="20"/>
    </w:rPr>
  </w:style>
  <w:style w:type="character" w:customStyle="1" w:styleId="WWCharLFO25LVL3">
    <w:name w:val="WW_CharLFO25LVL3"/>
    <w:qFormat/>
    <w:rPr>
      <w:rFonts w:ascii="Wingdings" w:hAnsi="Wingdings"/>
      <w:sz w:val="20"/>
    </w:rPr>
  </w:style>
  <w:style w:type="character" w:customStyle="1" w:styleId="WWCharLFO25LVL4">
    <w:name w:val="WW_CharLFO25LVL4"/>
    <w:qFormat/>
    <w:rPr>
      <w:rFonts w:ascii="Wingdings" w:hAnsi="Wingdings"/>
      <w:sz w:val="20"/>
    </w:rPr>
  </w:style>
  <w:style w:type="character" w:customStyle="1" w:styleId="WWCharLFO25LVL5">
    <w:name w:val="WW_CharLFO25LVL5"/>
    <w:qFormat/>
    <w:rPr>
      <w:rFonts w:ascii="Wingdings" w:hAnsi="Wingdings"/>
      <w:sz w:val="20"/>
    </w:rPr>
  </w:style>
  <w:style w:type="character" w:customStyle="1" w:styleId="WWCharLFO25LVL6">
    <w:name w:val="WW_CharLFO25LVL6"/>
    <w:qFormat/>
    <w:rPr>
      <w:rFonts w:ascii="Wingdings" w:hAnsi="Wingdings"/>
      <w:sz w:val="20"/>
    </w:rPr>
  </w:style>
  <w:style w:type="character" w:customStyle="1" w:styleId="WWCharLFO25LVL7">
    <w:name w:val="WW_CharLFO25LVL7"/>
    <w:qFormat/>
    <w:rPr>
      <w:rFonts w:ascii="Wingdings" w:hAnsi="Wingdings"/>
      <w:sz w:val="20"/>
    </w:rPr>
  </w:style>
  <w:style w:type="character" w:customStyle="1" w:styleId="WWCharLFO25LVL8">
    <w:name w:val="WW_CharLFO25LVL8"/>
    <w:qFormat/>
    <w:rPr>
      <w:rFonts w:ascii="Wingdings" w:hAnsi="Wingdings"/>
      <w:sz w:val="20"/>
    </w:rPr>
  </w:style>
  <w:style w:type="character" w:customStyle="1" w:styleId="WWCharLFO25LVL9">
    <w:name w:val="WW_CharLFO25LVL9"/>
    <w:qFormat/>
    <w:rPr>
      <w:rFonts w:ascii="Wingdings" w:hAnsi="Wingdings"/>
      <w:sz w:val="20"/>
    </w:rPr>
  </w:style>
  <w:style w:type="character" w:customStyle="1" w:styleId="WWCharLFO26LVL1">
    <w:name w:val="WW_CharLFO26LVL1"/>
    <w:qFormat/>
    <w:rPr>
      <w:rFonts w:ascii="Symbol" w:hAnsi="Symbol"/>
      <w:sz w:val="20"/>
    </w:rPr>
  </w:style>
  <w:style w:type="character" w:customStyle="1" w:styleId="WWCharLFO26LVL2">
    <w:name w:val="WW_CharLFO26LVL2"/>
    <w:qFormat/>
    <w:rPr>
      <w:rFonts w:ascii="Courier New" w:hAnsi="Courier New"/>
      <w:sz w:val="20"/>
    </w:rPr>
  </w:style>
  <w:style w:type="character" w:customStyle="1" w:styleId="WWCharLFO26LVL3">
    <w:name w:val="WW_CharLFO26LVL3"/>
    <w:qFormat/>
    <w:rPr>
      <w:rFonts w:ascii="Wingdings" w:hAnsi="Wingdings"/>
      <w:sz w:val="20"/>
    </w:rPr>
  </w:style>
  <w:style w:type="character" w:customStyle="1" w:styleId="WWCharLFO26LVL4">
    <w:name w:val="WW_CharLFO26LVL4"/>
    <w:qFormat/>
    <w:rPr>
      <w:rFonts w:ascii="Wingdings" w:hAnsi="Wingdings"/>
      <w:sz w:val="20"/>
    </w:rPr>
  </w:style>
  <w:style w:type="character" w:customStyle="1" w:styleId="WWCharLFO26LVL5">
    <w:name w:val="WW_CharLFO26LVL5"/>
    <w:qFormat/>
    <w:rPr>
      <w:rFonts w:ascii="Wingdings" w:hAnsi="Wingdings"/>
      <w:sz w:val="20"/>
    </w:rPr>
  </w:style>
  <w:style w:type="character" w:customStyle="1" w:styleId="WWCharLFO26LVL6">
    <w:name w:val="WW_CharLFO26LVL6"/>
    <w:qFormat/>
    <w:rPr>
      <w:rFonts w:ascii="Wingdings" w:hAnsi="Wingdings"/>
      <w:sz w:val="20"/>
    </w:rPr>
  </w:style>
  <w:style w:type="character" w:customStyle="1" w:styleId="WWCharLFO26LVL7">
    <w:name w:val="WW_CharLFO26LVL7"/>
    <w:qFormat/>
    <w:rPr>
      <w:rFonts w:ascii="Wingdings" w:hAnsi="Wingdings"/>
      <w:sz w:val="20"/>
    </w:rPr>
  </w:style>
  <w:style w:type="character" w:customStyle="1" w:styleId="WWCharLFO26LVL8">
    <w:name w:val="WW_CharLFO26LVL8"/>
    <w:qFormat/>
    <w:rPr>
      <w:rFonts w:ascii="Wingdings" w:hAnsi="Wingdings"/>
      <w:sz w:val="20"/>
    </w:rPr>
  </w:style>
  <w:style w:type="character" w:customStyle="1" w:styleId="WWCharLFO26LVL9">
    <w:name w:val="WW_CharLFO26LVL9"/>
    <w:qFormat/>
    <w:rPr>
      <w:rFonts w:ascii="Wingdings" w:hAnsi="Wingdings"/>
      <w:sz w:val="20"/>
    </w:rPr>
  </w:style>
  <w:style w:type="character" w:customStyle="1" w:styleId="WWCharLFO27LVL1">
    <w:name w:val="WW_CharLFO27LVL1"/>
    <w:qFormat/>
    <w:rPr>
      <w:rFonts w:ascii="Symbol" w:hAnsi="Symbol"/>
      <w:sz w:val="20"/>
    </w:rPr>
  </w:style>
  <w:style w:type="character" w:customStyle="1" w:styleId="WWCharLFO27LVL2">
    <w:name w:val="WW_CharLFO27LVL2"/>
    <w:qFormat/>
    <w:rPr>
      <w:rFonts w:ascii="Courier New" w:hAnsi="Courier New"/>
      <w:sz w:val="20"/>
    </w:rPr>
  </w:style>
  <w:style w:type="character" w:customStyle="1" w:styleId="WWCharLFO27LVL3">
    <w:name w:val="WW_CharLFO27LVL3"/>
    <w:qFormat/>
    <w:rPr>
      <w:rFonts w:ascii="Wingdings" w:hAnsi="Wingdings"/>
      <w:sz w:val="20"/>
    </w:rPr>
  </w:style>
  <w:style w:type="character" w:customStyle="1" w:styleId="WWCharLFO27LVL4">
    <w:name w:val="WW_CharLFO27LVL4"/>
    <w:qFormat/>
    <w:rPr>
      <w:rFonts w:ascii="Wingdings" w:hAnsi="Wingdings"/>
      <w:sz w:val="20"/>
    </w:rPr>
  </w:style>
  <w:style w:type="character" w:customStyle="1" w:styleId="WWCharLFO27LVL5">
    <w:name w:val="WW_CharLFO27LVL5"/>
    <w:qFormat/>
    <w:rPr>
      <w:rFonts w:ascii="Wingdings" w:hAnsi="Wingdings"/>
      <w:sz w:val="20"/>
    </w:rPr>
  </w:style>
  <w:style w:type="character" w:customStyle="1" w:styleId="WWCharLFO27LVL6">
    <w:name w:val="WW_CharLFO27LVL6"/>
    <w:qFormat/>
    <w:rPr>
      <w:rFonts w:ascii="Wingdings" w:hAnsi="Wingdings"/>
      <w:sz w:val="20"/>
    </w:rPr>
  </w:style>
  <w:style w:type="character" w:customStyle="1" w:styleId="WWCharLFO27LVL7">
    <w:name w:val="WW_CharLFO27LVL7"/>
    <w:qFormat/>
    <w:rPr>
      <w:rFonts w:ascii="Wingdings" w:hAnsi="Wingdings"/>
      <w:sz w:val="20"/>
    </w:rPr>
  </w:style>
  <w:style w:type="character" w:customStyle="1" w:styleId="WWCharLFO27LVL8">
    <w:name w:val="WW_CharLFO27LVL8"/>
    <w:qFormat/>
    <w:rPr>
      <w:rFonts w:ascii="Wingdings" w:hAnsi="Wingdings"/>
      <w:sz w:val="20"/>
    </w:rPr>
  </w:style>
  <w:style w:type="character" w:customStyle="1" w:styleId="WWCharLFO27LVL9">
    <w:name w:val="WW_CharLFO27LVL9"/>
    <w:qFormat/>
    <w:rPr>
      <w:rFonts w:ascii="Wingdings" w:hAnsi="Wingdings"/>
      <w:sz w:val="20"/>
    </w:rPr>
  </w:style>
  <w:style w:type="character" w:customStyle="1" w:styleId="WWCharLFO28LVL1">
    <w:name w:val="WW_CharLFO28LVL1"/>
    <w:qFormat/>
    <w:rPr>
      <w:rFonts w:ascii="Symbol" w:hAnsi="Symbol"/>
      <w:sz w:val="20"/>
    </w:rPr>
  </w:style>
  <w:style w:type="character" w:customStyle="1" w:styleId="WWCharLFO28LVL2">
    <w:name w:val="WW_CharLFO28LVL2"/>
    <w:qFormat/>
    <w:rPr>
      <w:rFonts w:ascii="Courier New" w:hAnsi="Courier New"/>
      <w:sz w:val="20"/>
    </w:rPr>
  </w:style>
  <w:style w:type="character" w:customStyle="1" w:styleId="WWCharLFO28LVL3">
    <w:name w:val="WW_CharLFO28LVL3"/>
    <w:qFormat/>
    <w:rPr>
      <w:rFonts w:ascii="Wingdings" w:hAnsi="Wingdings"/>
      <w:sz w:val="20"/>
    </w:rPr>
  </w:style>
  <w:style w:type="character" w:customStyle="1" w:styleId="WWCharLFO28LVL4">
    <w:name w:val="WW_CharLFO28LVL4"/>
    <w:qFormat/>
    <w:rPr>
      <w:rFonts w:ascii="Wingdings" w:hAnsi="Wingdings"/>
      <w:sz w:val="20"/>
    </w:rPr>
  </w:style>
  <w:style w:type="character" w:customStyle="1" w:styleId="WWCharLFO28LVL5">
    <w:name w:val="WW_CharLFO28LVL5"/>
    <w:qFormat/>
    <w:rPr>
      <w:rFonts w:ascii="Wingdings" w:hAnsi="Wingdings"/>
      <w:sz w:val="20"/>
    </w:rPr>
  </w:style>
  <w:style w:type="character" w:customStyle="1" w:styleId="WWCharLFO28LVL6">
    <w:name w:val="WW_CharLFO28LVL6"/>
    <w:qFormat/>
    <w:rPr>
      <w:rFonts w:ascii="Wingdings" w:hAnsi="Wingdings"/>
      <w:sz w:val="20"/>
    </w:rPr>
  </w:style>
  <w:style w:type="character" w:customStyle="1" w:styleId="WWCharLFO28LVL7">
    <w:name w:val="WW_CharLFO28LVL7"/>
    <w:qFormat/>
    <w:rPr>
      <w:rFonts w:ascii="Wingdings" w:hAnsi="Wingdings"/>
      <w:sz w:val="20"/>
    </w:rPr>
  </w:style>
  <w:style w:type="character" w:customStyle="1" w:styleId="WWCharLFO28LVL8">
    <w:name w:val="WW_CharLFO28LVL8"/>
    <w:qFormat/>
    <w:rPr>
      <w:rFonts w:ascii="Wingdings" w:hAnsi="Wingdings"/>
      <w:sz w:val="20"/>
    </w:rPr>
  </w:style>
  <w:style w:type="character" w:customStyle="1" w:styleId="WWCharLFO28LVL9">
    <w:name w:val="WW_CharLFO28LVL9"/>
    <w:qFormat/>
    <w:rPr>
      <w:rFonts w:ascii="Wingdings" w:hAnsi="Wingdings"/>
      <w:sz w:val="20"/>
    </w:rPr>
  </w:style>
  <w:style w:type="character" w:customStyle="1" w:styleId="WWCharLFO29LVL1">
    <w:name w:val="WW_CharLFO29LVL1"/>
    <w:qFormat/>
    <w:rPr>
      <w:rFonts w:ascii="Symbol" w:hAnsi="Symbol"/>
      <w:sz w:val="20"/>
    </w:rPr>
  </w:style>
  <w:style w:type="character" w:customStyle="1" w:styleId="WWCharLFO29LVL2">
    <w:name w:val="WW_CharLFO29LVL2"/>
    <w:qFormat/>
    <w:rPr>
      <w:rFonts w:ascii="Courier New" w:hAnsi="Courier New"/>
      <w:sz w:val="20"/>
    </w:rPr>
  </w:style>
  <w:style w:type="character" w:customStyle="1" w:styleId="WWCharLFO29LVL3">
    <w:name w:val="WW_CharLFO29LVL3"/>
    <w:qFormat/>
    <w:rPr>
      <w:rFonts w:ascii="Wingdings" w:hAnsi="Wingdings"/>
      <w:sz w:val="20"/>
    </w:rPr>
  </w:style>
  <w:style w:type="character" w:customStyle="1" w:styleId="WWCharLFO29LVL4">
    <w:name w:val="WW_CharLFO29LVL4"/>
    <w:qFormat/>
    <w:rPr>
      <w:rFonts w:ascii="Wingdings" w:hAnsi="Wingdings"/>
      <w:sz w:val="20"/>
    </w:rPr>
  </w:style>
  <w:style w:type="character" w:customStyle="1" w:styleId="WWCharLFO29LVL5">
    <w:name w:val="WW_CharLFO29LVL5"/>
    <w:qFormat/>
    <w:rPr>
      <w:rFonts w:ascii="Wingdings" w:hAnsi="Wingdings"/>
      <w:sz w:val="20"/>
    </w:rPr>
  </w:style>
  <w:style w:type="character" w:customStyle="1" w:styleId="WWCharLFO29LVL6">
    <w:name w:val="WW_CharLFO29LVL6"/>
    <w:qFormat/>
    <w:rPr>
      <w:rFonts w:ascii="Wingdings" w:hAnsi="Wingdings"/>
      <w:sz w:val="20"/>
    </w:rPr>
  </w:style>
  <w:style w:type="character" w:customStyle="1" w:styleId="WWCharLFO29LVL7">
    <w:name w:val="WW_CharLFO29LVL7"/>
    <w:qFormat/>
    <w:rPr>
      <w:rFonts w:ascii="Wingdings" w:hAnsi="Wingdings"/>
      <w:sz w:val="20"/>
    </w:rPr>
  </w:style>
  <w:style w:type="character" w:customStyle="1" w:styleId="WWCharLFO29LVL8">
    <w:name w:val="WW_CharLFO29LVL8"/>
    <w:qFormat/>
    <w:rPr>
      <w:rFonts w:ascii="Wingdings" w:hAnsi="Wingdings"/>
      <w:sz w:val="20"/>
    </w:rPr>
  </w:style>
  <w:style w:type="character" w:customStyle="1" w:styleId="WWCharLFO29LVL9">
    <w:name w:val="WW_CharLFO29LVL9"/>
    <w:qFormat/>
    <w:rPr>
      <w:rFonts w:ascii="Wingdings" w:hAnsi="Wingdings"/>
      <w:sz w:val="20"/>
    </w:rPr>
  </w:style>
  <w:style w:type="character" w:customStyle="1" w:styleId="WWCharLFO35LVL1">
    <w:name w:val="WW_CharLFO35LVL1"/>
    <w:qFormat/>
    <w:rPr>
      <w:rFonts w:cs="Times New Roman"/>
    </w:rPr>
  </w:style>
  <w:style w:type="character" w:customStyle="1" w:styleId="WWCharLFO41LVL1">
    <w:name w:val="WW_CharLFO41LVL1"/>
    <w:qFormat/>
    <w:rPr>
      <w:rFonts w:eastAsia="Times New Roman"/>
    </w:rPr>
  </w:style>
  <w:style w:type="character" w:styleId="afb">
    <w:name w:val="Emphasis"/>
    <w:qFormat/>
    <w:rPr>
      <w:i/>
      <w:iCs/>
    </w:rPr>
  </w:style>
  <w:style w:type="character" w:customStyle="1" w:styleId="afc">
    <w:name w:val="Основной текст_"/>
    <w:basedOn w:val="a2"/>
    <w:qFormat/>
    <w:rPr>
      <w:rFonts w:ascii="Times New Roman" w:hAnsi="Times New Roman" w:cs="Times New Roman"/>
      <w:spacing w:val="4"/>
      <w:highlight w:val="white"/>
    </w:rPr>
  </w:style>
  <w:style w:type="paragraph" w:styleId="a0">
    <w:name w:val="Title"/>
    <w:basedOn w:val="a"/>
    <w:next w:val="a1"/>
    <w:qFormat/>
    <w:pPr>
      <w:keepNext/>
      <w:spacing w:before="240" w:after="120"/>
      <w:textAlignment w:val="baseline"/>
    </w:pPr>
    <w:rPr>
      <w:rFonts w:ascii="Liberation Sans" w:eastAsia="MS Gothic" w:hAnsi="Liberation Sans" w:cs="Tahoma"/>
      <w:sz w:val="28"/>
      <w:szCs w:val="28"/>
    </w:rPr>
  </w:style>
  <w:style w:type="paragraph" w:styleId="a1">
    <w:name w:val="Body Text"/>
    <w:basedOn w:val="a"/>
    <w:pPr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List Paragraph"/>
    <w:basedOn w:val="a"/>
    <w:qFormat/>
    <w:pPr>
      <w:ind w:left="720"/>
    </w:pPr>
  </w:style>
  <w:style w:type="paragraph" w:styleId="afe">
    <w:name w:val="Normal (Web)"/>
    <w:basedOn w:val="a"/>
    <w:qFormat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annotation text"/>
    <w:basedOn w:val="a"/>
    <w:qFormat/>
    <w:pPr>
      <w:spacing w:after="200" w:line="276" w:lineRule="auto"/>
    </w:pPr>
  </w:style>
  <w:style w:type="paragraph" w:styleId="aff0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qFormat/>
    <w:pPr>
      <w:widowControl w:val="0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 Spacing"/>
    <w:qFormat/>
    <w:pPr>
      <w:suppressAutoHyphens/>
      <w:spacing w:line="240" w:lineRule="auto"/>
    </w:pPr>
    <w:rPr>
      <w:rFonts w:cs="Calibri"/>
      <w:sz w:val="28"/>
      <w:szCs w:val="28"/>
    </w:rPr>
  </w:style>
  <w:style w:type="paragraph" w:customStyle="1" w:styleId="a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  <w:textAlignment w:val="baseline"/>
    </w:pPr>
  </w:style>
  <w:style w:type="paragraph" w:styleId="aff3">
    <w:name w:val="header"/>
    <w:basedOn w:val="a"/>
    <w:pPr>
      <w:tabs>
        <w:tab w:val="center" w:pos="4677"/>
        <w:tab w:val="right" w:pos="9355"/>
      </w:tabs>
    </w:pPr>
  </w:style>
  <w:style w:type="paragraph" w:styleId="aff4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Обычный1"/>
    <w:qFormat/>
    <w:pPr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Body Text Indent"/>
    <w:basedOn w:val="a"/>
    <w:pPr>
      <w:spacing w:after="120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6">
    <w:name w:val="annotation subject"/>
    <w:basedOn w:val="aff"/>
    <w:next w:val="aff"/>
    <w:qFormat/>
    <w:rPr>
      <w:b/>
      <w:bCs/>
    </w:rPr>
  </w:style>
  <w:style w:type="paragraph" w:styleId="aff7">
    <w:name w:val="Revision"/>
    <w:qFormat/>
    <w:pPr>
      <w:suppressAutoHyphens/>
      <w:spacing w:line="240" w:lineRule="auto"/>
    </w:pPr>
    <w:rPr>
      <w:rFonts w:ascii="Times New Roman" w:hAnsi="Times New Roman"/>
      <w:sz w:val="28"/>
      <w:lang w:eastAsia="ru-RU"/>
    </w:rPr>
  </w:style>
  <w:style w:type="paragraph" w:styleId="aff8">
    <w:name w:val="footnote text"/>
    <w:basedOn w:val="a"/>
    <w:qFormat/>
    <w:rPr>
      <w:sz w:val="20"/>
      <w:szCs w:val="20"/>
    </w:rPr>
  </w:style>
  <w:style w:type="paragraph" w:styleId="aff9">
    <w:name w:val="endnote text"/>
    <w:basedOn w:val="a"/>
    <w:qFormat/>
    <w:pPr>
      <w:textAlignment w:val="baseline"/>
    </w:pPr>
    <w:rPr>
      <w:sz w:val="20"/>
      <w:szCs w:val="20"/>
    </w:rPr>
  </w:style>
  <w:style w:type="paragraph" w:customStyle="1" w:styleId="affa">
    <w:name w:val="Содержимое таблицы"/>
    <w:basedOn w:val="a"/>
    <w:qFormat/>
    <w:pPr>
      <w:suppressLineNumbers/>
      <w:textAlignment w:val="baseline"/>
    </w:pPr>
  </w:style>
  <w:style w:type="paragraph" w:customStyle="1" w:styleId="affb">
    <w:name w:val="Текст в заданном формате"/>
    <w:basedOn w:val="a"/>
    <w:qFormat/>
    <w:pPr>
      <w:textAlignment w:val="baseline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16">
    <w:name w:val="Обычная таблица1"/>
    <w:qFormat/>
    <w:pPr>
      <w:suppressAutoHyphens/>
      <w:spacing w:after="160" w:line="254" w:lineRule="auto"/>
    </w:pPr>
    <w:rPr>
      <w:rFonts w:eastAsia="Times New Roman"/>
    </w:rPr>
  </w:style>
  <w:style w:type="paragraph" w:customStyle="1" w:styleId="affc">
    <w:name w:val="Верхний колонтитул слева"/>
    <w:basedOn w:val="aff3"/>
    <w:qFormat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paragraph" w:customStyle="1" w:styleId="100">
    <w:name w:val="Заголовок 10"/>
    <w:basedOn w:val="a0"/>
    <w:next w:val="a1"/>
    <w:qFormat/>
    <w:pPr>
      <w:tabs>
        <w:tab w:val="num" w:pos="0"/>
      </w:tabs>
      <w:spacing w:before="60" w:after="60"/>
      <w:outlineLvl w:val="8"/>
    </w:pPr>
    <w:rPr>
      <w:b/>
      <w:bCs/>
      <w:sz w:val="21"/>
      <w:szCs w:val="21"/>
    </w:rPr>
  </w:style>
  <w:style w:type="paragraph" w:customStyle="1" w:styleId="affd">
    <w:name w:val="Заголовок таблицы"/>
    <w:basedOn w:val="affa"/>
    <w:qFormat/>
    <w:pPr>
      <w:jc w:val="center"/>
    </w:pPr>
    <w:rPr>
      <w:b/>
      <w:bCs/>
    </w:rPr>
  </w:style>
  <w:style w:type="paragraph" w:customStyle="1" w:styleId="21">
    <w:name w:val="Обычная таблица2"/>
    <w:qFormat/>
    <w:pPr>
      <w:spacing w:after="160"/>
    </w:pPr>
    <w:rPr>
      <w:rFonts w:ascii="Times New Roman" w:hAnsi="Times New Roman"/>
      <w:sz w:val="20"/>
      <w:szCs w:val="20"/>
      <w:lang w:eastAsia="ru-RU"/>
    </w:rPr>
  </w:style>
  <w:style w:type="paragraph" w:customStyle="1" w:styleId="17">
    <w:name w:val="Основной текст1"/>
    <w:basedOn w:val="a"/>
    <w:qFormat/>
    <w:pPr>
      <w:shd w:val="clear" w:color="auto" w:fill="FFFFFF"/>
      <w:spacing w:after="60"/>
    </w:pPr>
    <w:rPr>
      <w:spacing w:val="4"/>
    </w:rPr>
  </w:style>
  <w:style w:type="paragraph" w:customStyle="1" w:styleId="affe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48CB5814F8899A858D89C0580E1FF868A8EE60A8052D150756C37657E0C3DB55944F1A48B66FCE84CE2109B0D4ACB24C4CC2F2995CC99657CC052AL8AF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448CB5814F8899A858D89C0580E1FF868A8EE60A8052D150756C37657E0C3DB55944F1A48B66FCE84CE2109B0D4ACB24C4CC2F2995CC99657CC052AL8AF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5</Pages>
  <Words>1751</Words>
  <Characters>9981</Characters>
  <Application>Microsoft Office Word</Application>
  <DocSecurity>0</DocSecurity>
  <Lines>83</Lines>
  <Paragraphs>23</Paragraphs>
  <ScaleCrop>false</ScaleCrop>
  <Company>КонсультантПлюс Версия 4021.00.27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27.04.2017 N 295-ПП(ред. от 29.08.2019)"Об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области"</dc:title>
  <dc:subject/>
  <dc:creator/>
  <dc:description/>
  <cp:lastModifiedBy>Будлянский Дмитрий Евгеньевич</cp:lastModifiedBy>
  <cp:revision>263</cp:revision>
  <cp:lastPrinted>2021-07-21T16:45:00Z</cp:lastPrinted>
  <dcterms:created xsi:type="dcterms:W3CDTF">2021-07-21T13:10:00Z</dcterms:created>
  <dcterms:modified xsi:type="dcterms:W3CDTF">2021-08-04T08:26:00Z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4021.00.27</vt:lpwstr>
  </property>
</Properties>
</file>